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A706"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Уважаемый Вячеслав Викторович! Уважаемые депутаты!</w:t>
      </w:r>
    </w:p>
    <w:p w14:paraId="6AE75BE2"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У Минсельхоза России и депутатского корпуса выстроено конструктивное взаимодействие. Вместе нам удается принимать и реализовывать решения, направленные на динамичное развитие сельского хозяйства.</w:t>
      </w:r>
    </w:p>
    <w:p w14:paraId="48BCCA9D"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Сегодня я представлю информацию об основных итогах работы агропромышленного комплекса в 2021 году и основных задачах на 2022 год.</w:t>
      </w:r>
    </w:p>
    <w:p w14:paraId="0DB5B6E4"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Итак, даже в непростой текущей ситуации отрасль демонстрирует стабильные результаты. По итогам года мы прогнозируем положительный индекс АПК, однако индекс сельхозпроизводства в силу объективных факторов снизится. В 2022 году рассчитываем, что индекс сельхозпроизводства увеличится до 101,</w:t>
      </w:r>
      <w:r>
        <w:rPr>
          <w:rFonts w:ascii="Times New Roman" w:hAnsi="Times New Roman"/>
          <w:sz w:val="28"/>
          <w:szCs w:val="28"/>
        </w:rPr>
        <w:t>3%</w:t>
      </w:r>
      <w:r w:rsidRPr="00A25166">
        <w:rPr>
          <w:rFonts w:ascii="Times New Roman" w:hAnsi="Times New Roman"/>
          <w:sz w:val="28"/>
          <w:szCs w:val="28"/>
        </w:rPr>
        <w:t>, индекс АПК до 101</w:t>
      </w:r>
      <w:r>
        <w:rPr>
          <w:rFonts w:ascii="Times New Roman" w:hAnsi="Times New Roman"/>
          <w:sz w:val="28"/>
          <w:szCs w:val="28"/>
        </w:rPr>
        <w:t>%</w:t>
      </w:r>
      <w:r w:rsidRPr="00A25166">
        <w:rPr>
          <w:rFonts w:ascii="Times New Roman" w:hAnsi="Times New Roman"/>
          <w:sz w:val="28"/>
          <w:szCs w:val="28"/>
        </w:rPr>
        <w:t>.</w:t>
      </w:r>
    </w:p>
    <w:p w14:paraId="0F35F1BE"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Растет зарплата в сельском хозяйстве. По итогам 9 месяцев 2021 года она составила 33,6 тысячи рублей, это заметно больше, чем на аналогичный период 2020 года.</w:t>
      </w:r>
    </w:p>
    <w:p w14:paraId="2387C03F"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Также ожидаем, что рентабельность сельхозпроизводства с учетом господдержки в 2021 году составит 23,4</w:t>
      </w:r>
      <w:r>
        <w:rPr>
          <w:rFonts w:ascii="Times New Roman" w:hAnsi="Times New Roman"/>
          <w:sz w:val="28"/>
          <w:szCs w:val="28"/>
        </w:rPr>
        <w:t>%</w:t>
      </w:r>
      <w:r w:rsidRPr="00A25166">
        <w:rPr>
          <w:rFonts w:ascii="Times New Roman" w:hAnsi="Times New Roman"/>
          <w:sz w:val="28"/>
          <w:szCs w:val="28"/>
        </w:rPr>
        <w:t>.</w:t>
      </w:r>
    </w:p>
    <w:p w14:paraId="29E6E989"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Коллеги, коротко о текущей ситуации в разрезе ключевых подотраслей. Что происходит в растениеводстве? В России в целом практически завершены сезонные полевые работы. Год для аграриев сложился крайне непростым. Начиная с прошлого озимого сева и в течение всего сезона, погода постоянно вносила коррективы в процесс сельхозпроизводства. В 16 регионах был объявлен режим ЧС природного характера.</w:t>
      </w:r>
    </w:p>
    <w:p w14:paraId="1A99EC89"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 xml:space="preserve">И, конечно, наша отрасль, как и другие, испытывает на себе влияние пандемии. Несмотря на это, полученный урожай по основным позициям превышает запланированные в госпрограмме показатели. Объем зерновых в чистом весе превысит 123 </w:t>
      </w:r>
      <w:r>
        <w:rPr>
          <w:rFonts w:ascii="Times New Roman" w:hAnsi="Times New Roman"/>
          <w:sz w:val="28"/>
          <w:szCs w:val="28"/>
        </w:rPr>
        <w:t>млн</w:t>
      </w:r>
      <w:r w:rsidRPr="00A25166">
        <w:rPr>
          <w:rFonts w:ascii="Times New Roman" w:hAnsi="Times New Roman"/>
          <w:sz w:val="28"/>
          <w:szCs w:val="28"/>
        </w:rPr>
        <w:t xml:space="preserve"> тонн. Из них около 76 </w:t>
      </w:r>
      <w:r>
        <w:rPr>
          <w:rFonts w:ascii="Times New Roman" w:hAnsi="Times New Roman"/>
          <w:sz w:val="28"/>
          <w:szCs w:val="28"/>
        </w:rPr>
        <w:t>млн</w:t>
      </w:r>
      <w:r w:rsidRPr="00A25166">
        <w:rPr>
          <w:rFonts w:ascii="Times New Roman" w:hAnsi="Times New Roman"/>
          <w:sz w:val="28"/>
          <w:szCs w:val="28"/>
        </w:rPr>
        <w:t xml:space="preserve"> тонн -это пшеница. Подчеркну, это полностью обеспечивает внутренние потребности и экспортные возможности нашей страны. Будет получено 23 </w:t>
      </w:r>
      <w:r>
        <w:rPr>
          <w:rFonts w:ascii="Times New Roman" w:hAnsi="Times New Roman"/>
          <w:sz w:val="28"/>
          <w:szCs w:val="28"/>
        </w:rPr>
        <w:t>млн</w:t>
      </w:r>
      <w:r w:rsidRPr="00A25166">
        <w:rPr>
          <w:rFonts w:ascii="Times New Roman" w:hAnsi="Times New Roman"/>
          <w:sz w:val="28"/>
          <w:szCs w:val="28"/>
        </w:rPr>
        <w:t xml:space="preserve"> тонн масличных, более 40 </w:t>
      </w:r>
      <w:r>
        <w:rPr>
          <w:rFonts w:ascii="Times New Roman" w:hAnsi="Times New Roman"/>
          <w:sz w:val="28"/>
          <w:szCs w:val="28"/>
        </w:rPr>
        <w:t>млн</w:t>
      </w:r>
      <w:r w:rsidRPr="00A25166">
        <w:rPr>
          <w:rFonts w:ascii="Times New Roman" w:hAnsi="Times New Roman"/>
          <w:sz w:val="28"/>
          <w:szCs w:val="28"/>
        </w:rPr>
        <w:t xml:space="preserve"> тонн сахарной свеклы, порядка 7 </w:t>
      </w:r>
      <w:r>
        <w:rPr>
          <w:rFonts w:ascii="Times New Roman" w:hAnsi="Times New Roman"/>
          <w:sz w:val="28"/>
          <w:szCs w:val="28"/>
        </w:rPr>
        <w:t>млн</w:t>
      </w:r>
      <w:r w:rsidRPr="00A25166">
        <w:rPr>
          <w:rFonts w:ascii="Times New Roman" w:hAnsi="Times New Roman"/>
          <w:sz w:val="28"/>
          <w:szCs w:val="28"/>
        </w:rPr>
        <w:t xml:space="preserve"> тонн овощей. Все эти показатели выше уровня 2020 года. Урожай картофеля в организованном секторе превысит 6,7 </w:t>
      </w:r>
      <w:r>
        <w:rPr>
          <w:rFonts w:ascii="Times New Roman" w:hAnsi="Times New Roman"/>
          <w:sz w:val="28"/>
          <w:szCs w:val="28"/>
        </w:rPr>
        <w:t>млн</w:t>
      </w:r>
      <w:r w:rsidRPr="00A25166">
        <w:rPr>
          <w:rFonts w:ascii="Times New Roman" w:hAnsi="Times New Roman"/>
          <w:sz w:val="28"/>
          <w:szCs w:val="28"/>
        </w:rPr>
        <w:t xml:space="preserve"> тонн. Помимо того, обновим рекорд по сбору плодов и ягод. Также отмечу, что в ряде регионов еще продолжается озимый сев. Сейчас площадь уже превышает 19 </w:t>
      </w:r>
      <w:r>
        <w:rPr>
          <w:rFonts w:ascii="Times New Roman" w:hAnsi="Times New Roman"/>
          <w:sz w:val="28"/>
          <w:szCs w:val="28"/>
        </w:rPr>
        <w:t>млн</w:t>
      </w:r>
      <w:r w:rsidRPr="00A25166">
        <w:rPr>
          <w:rFonts w:ascii="Times New Roman" w:hAnsi="Times New Roman"/>
          <w:sz w:val="28"/>
          <w:szCs w:val="28"/>
        </w:rPr>
        <w:t xml:space="preserve"> гектаров.</w:t>
      </w:r>
    </w:p>
    <w:p w14:paraId="1E140D5A"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 xml:space="preserve">Что касается 2022 года, пока конкретные прогнозы по продукции растениеводства называть преждевременно. Разумеется, мы в первую очередь руководствуемся индикаторами нашей госпрограммы, тем не менее совместно с субъектами уже проработана структура посевных площадей под будущий урожай. В целом площадь в 2022 году вырастет более чем на 1 </w:t>
      </w:r>
      <w:r>
        <w:rPr>
          <w:rFonts w:ascii="Times New Roman" w:hAnsi="Times New Roman"/>
          <w:sz w:val="28"/>
          <w:szCs w:val="28"/>
        </w:rPr>
        <w:t>млн</w:t>
      </w:r>
      <w:r w:rsidRPr="00A25166">
        <w:rPr>
          <w:rFonts w:ascii="Times New Roman" w:hAnsi="Times New Roman"/>
          <w:sz w:val="28"/>
          <w:szCs w:val="28"/>
        </w:rPr>
        <w:t xml:space="preserve"> гектаров. </w:t>
      </w:r>
      <w:r w:rsidRPr="00A25166">
        <w:rPr>
          <w:rFonts w:ascii="Times New Roman" w:hAnsi="Times New Roman"/>
          <w:sz w:val="28"/>
          <w:szCs w:val="28"/>
        </w:rPr>
        <w:lastRenderedPageBreak/>
        <w:t>Увеличение планируется под яровыми зерновыми, в том числе под гречихой, а также под сахарной свеклой, рапсом и соей. Особое внимание уделим наращиванию производства картофеля и овощей открытого грунта.</w:t>
      </w:r>
    </w:p>
    <w:p w14:paraId="0250F769"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Для развития растениеводства приоритетное значение имеет укрепление материально-технической базы. Проблем с семенами и ГСМ у аграриев на сегодняшний день мы не видим.</w:t>
      </w:r>
    </w:p>
    <w:p w14:paraId="77303615"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Планомерно работаем над обновлением парка сельхозтехники, поскольку это существенно повышает эффективность нашего производства. Для поддержки предусмотрен льготный лизинг, льготные кредиты, гранты на развитие фермерских хозяйств и другие инструменты, в том числе по линии Минпромторга. Благодаря этому темпы приобретения техники и оборудования у нас ежегодно увеличиваются. По оценке, в 2021 году будет закуплено около 63 тысяч единиц, из которых 10 тысяч за счет специальных программ АО «Росагролизинг». Хочу сказать, что программы льготного лизинга будут продолжены и в 2022 году. Планку по объемам поставки техники и оборудования мы снижать не планируем.</w:t>
      </w:r>
    </w:p>
    <w:p w14:paraId="0F97B3A7"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Что касается рынка минеральных удобрений, в данном сегменте сложилась достаточно напряженная ситуация. За год цены значительно выросли. Правительством России в этой связи реализуется целый комплекс мер. В частности, введено временное количественное ограничение на экспорт отдельных видов удобрений. Также совместно с Минпромторгом России и субъектами подготовлен детальный план приобретения удобрений в разбивке по производителям. В ноябре этот план был выполнен. Рассчитываем, что за счет указанных мер аграрии приобретут необходимый им объем удобрений, самое главное по приемлемым ценам.</w:t>
      </w:r>
      <w:r>
        <w:rPr>
          <w:rFonts w:ascii="Times New Roman" w:hAnsi="Times New Roman"/>
          <w:sz w:val="28"/>
          <w:szCs w:val="28"/>
        </w:rPr>
        <w:t xml:space="preserve"> </w:t>
      </w:r>
      <w:r w:rsidRPr="00A25166">
        <w:rPr>
          <w:rFonts w:ascii="Times New Roman" w:hAnsi="Times New Roman"/>
          <w:sz w:val="28"/>
          <w:szCs w:val="28"/>
        </w:rPr>
        <w:t xml:space="preserve">Еженедельно анализируем ситуацию на заседаниях наших оперативных штабов с субъектами и специального межведомственного штаба, который создан по поручению Председателя Правительства России. В целом фиксируем рост объемов закупки и внесения минеральных удобрений. Если в 2018 году приобретено 3,2 </w:t>
      </w:r>
      <w:r>
        <w:rPr>
          <w:rFonts w:ascii="Times New Roman" w:hAnsi="Times New Roman"/>
          <w:sz w:val="28"/>
          <w:szCs w:val="28"/>
        </w:rPr>
        <w:t>млн</w:t>
      </w:r>
      <w:r w:rsidRPr="00A25166">
        <w:rPr>
          <w:rFonts w:ascii="Times New Roman" w:hAnsi="Times New Roman"/>
          <w:sz w:val="28"/>
          <w:szCs w:val="28"/>
        </w:rPr>
        <w:t xml:space="preserve"> тонн, то в 2021 году запланировано выйти на показатель 4,5 </w:t>
      </w:r>
      <w:r>
        <w:rPr>
          <w:rFonts w:ascii="Times New Roman" w:hAnsi="Times New Roman"/>
          <w:sz w:val="28"/>
          <w:szCs w:val="28"/>
        </w:rPr>
        <w:t>млн</w:t>
      </w:r>
      <w:r w:rsidRPr="00A25166">
        <w:rPr>
          <w:rFonts w:ascii="Times New Roman" w:hAnsi="Times New Roman"/>
          <w:sz w:val="28"/>
          <w:szCs w:val="28"/>
        </w:rPr>
        <w:t xml:space="preserve"> тонн. Таким образом, за последние три года объем закупки вырос на 41%, внесение - почти на 15 килограммов на 1 гектар пашни. Это соответствует планам. В 2022 году показатель должен еще увеличиться.</w:t>
      </w:r>
    </w:p>
    <w:p w14:paraId="49D3C6FD"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 xml:space="preserve">Перейду к животноводству. В </w:t>
      </w:r>
      <w:r>
        <w:rPr>
          <w:rFonts w:ascii="Times New Roman" w:hAnsi="Times New Roman"/>
          <w:sz w:val="28"/>
          <w:szCs w:val="28"/>
        </w:rPr>
        <w:t>2021</w:t>
      </w:r>
      <w:r w:rsidRPr="00A25166">
        <w:rPr>
          <w:rFonts w:ascii="Times New Roman" w:hAnsi="Times New Roman"/>
          <w:sz w:val="28"/>
          <w:szCs w:val="28"/>
        </w:rPr>
        <w:t xml:space="preserve"> году производство молока планируется в объеме 32,3 </w:t>
      </w:r>
      <w:r>
        <w:rPr>
          <w:rFonts w:ascii="Times New Roman" w:hAnsi="Times New Roman"/>
          <w:sz w:val="28"/>
          <w:szCs w:val="28"/>
        </w:rPr>
        <w:t>млн</w:t>
      </w:r>
      <w:r w:rsidRPr="00A25166">
        <w:rPr>
          <w:rFonts w:ascii="Times New Roman" w:hAnsi="Times New Roman"/>
          <w:sz w:val="28"/>
          <w:szCs w:val="28"/>
        </w:rPr>
        <w:t xml:space="preserve"> тонн. Это на 10 тысяч тонн больше прошлогоднего уровня. Что касается мясного направления, как вы знаете, сегодня во всем мире животноводство несет колоссальные убытки от особо опасных болезней животных. Например, только во Франции в 2020 году ущерб от гриппа птиц превысил 2,3 млрд евро. Безусловно, мы предприняли все меры </w:t>
      </w:r>
      <w:r w:rsidRPr="00A25166">
        <w:rPr>
          <w:rFonts w:ascii="Times New Roman" w:hAnsi="Times New Roman"/>
          <w:sz w:val="28"/>
          <w:szCs w:val="28"/>
        </w:rPr>
        <w:lastRenderedPageBreak/>
        <w:t xml:space="preserve">по стабилизации этой ситуации в России. Это позволило не допустить наиболее негативного сценария, однако, в том числе в связи с напряженной эпизоотической обстановкой, фиксируем определенное замедление темпов роста объемов. Тем не менее производство скота и птицы в 2021 году немного, но все же вырастет и составит около 15,7 </w:t>
      </w:r>
      <w:r>
        <w:rPr>
          <w:rFonts w:ascii="Times New Roman" w:hAnsi="Times New Roman"/>
          <w:sz w:val="28"/>
          <w:szCs w:val="28"/>
        </w:rPr>
        <w:t>млн</w:t>
      </w:r>
      <w:r w:rsidRPr="00A25166">
        <w:rPr>
          <w:rFonts w:ascii="Times New Roman" w:hAnsi="Times New Roman"/>
          <w:sz w:val="28"/>
          <w:szCs w:val="28"/>
        </w:rPr>
        <w:t xml:space="preserve"> тонн. В частности, по говядине рассчитываем на прирост в 1,5%, в птицеводстве ожидаем выход на показатели 2020 года, в свиноводстве восстановление объемов прогнозируется в </w:t>
      </w:r>
      <w:r>
        <w:rPr>
          <w:rFonts w:ascii="Times New Roman" w:hAnsi="Times New Roman"/>
          <w:sz w:val="28"/>
          <w:szCs w:val="28"/>
          <w:lang w:val="en-US"/>
        </w:rPr>
        <w:t>I</w:t>
      </w:r>
      <w:r w:rsidRPr="00A25166">
        <w:rPr>
          <w:rFonts w:ascii="Times New Roman" w:hAnsi="Times New Roman"/>
          <w:sz w:val="28"/>
          <w:szCs w:val="28"/>
        </w:rPr>
        <w:t xml:space="preserve"> полугодии 2022 года.</w:t>
      </w:r>
    </w:p>
    <w:p w14:paraId="5C85B006"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Коротко о развитии пищевой и перерабатывающей промышленности. За 9 месяцев 2021 года индекс производства пищевой продукции составил 102,1%. Отмечаем рост производства сыров, круп, мясных полуфабрикатов, колбасных, хлебобулочных, кондитерских изделий и плодоовощных консервов.</w:t>
      </w:r>
    </w:p>
    <w:p w14:paraId="0FBEC766"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Таким образом, еще раз подчеркну, что объемы продукции АПК позволяют нам полноценно покрывать внутренние потребности. По большинству позиций индикаторы Доктрины продовольственной безопасности выполнены или перевыполнены. Работаем по категориям, где показатель самообеспеченности на данный момент не достигнут. Это молоко, картофель, а также новые, включенные в Доктрину с 2020 года овощи и бахчевые, фрукты и ягоды.</w:t>
      </w:r>
    </w:p>
    <w:p w14:paraId="24F45924"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Коллеги, в качестве небольшого отступления отмечу следующее. По нашему мнению, важнейшей задачей для развития АПК является не только обеспечение необходимого объема продукции, но и постоянное повышение ее качества.</w:t>
      </w:r>
    </w:p>
    <w:p w14:paraId="4D0C7FB0"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Работаем в этом направлении, в том числе развивая государственные информационные системы. Так, за счет системы прослеживаемости продукции животноводства «Меркурий» за 10 месяцев 2021 года выявлено почти 260 тысяч факторов нарушений при производстве, перемещении, хранении и попытках использования фальсификата, обнаруживались даже несуществующие предприятия. Работаем над созданием таких систем и в других областях. В частности, планируются к внедрению системы прослеживаемости по зерну, пестицидам и агрохимикатам.</w:t>
      </w:r>
    </w:p>
    <w:p w14:paraId="738B52F5"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 xml:space="preserve">Теперь что касается развития экспортного потенциала. Продолжаем реализацию соответствующего федерального проекта. По прогнозам, на внешние рынки в 2021 году будет поставлено продукции на 35 млрд долларов в текущих ценах. Конечно, здесь сказывается увеличение мировых цен. Особое внимание уделяем наращиванию экспорта продукции с высокой добавленной стоимостью. Сейчас в структуре внешней торговли она занимает </w:t>
      </w:r>
      <w:r w:rsidRPr="00A25166">
        <w:rPr>
          <w:rFonts w:ascii="Times New Roman" w:hAnsi="Times New Roman"/>
          <w:sz w:val="28"/>
          <w:szCs w:val="28"/>
        </w:rPr>
        <w:lastRenderedPageBreak/>
        <w:t>всё большее место. Например, экспорт кондитерских изделий в 2021 году вырос на 20%, а напитков на 35.</w:t>
      </w:r>
    </w:p>
    <w:p w14:paraId="42FA80E8"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Вместе с тем для сохранения стабильной ситуации на внутреннем рынке принимаются меры таможенного регулирования, что приводит к определенному сокращению экспорта в физических объемах. Так, на зарубежные рынки в 2021 году поставлено на 15% меньше зерна и почти на 6% меньше масложировой продукции.</w:t>
      </w:r>
    </w:p>
    <w:p w14:paraId="1F302085"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В 2022 году в соответствии с федеральным проектом экспорт продукции АПК, объем поставок должен составить не менее 30 млрд долларов.</w:t>
      </w:r>
    </w:p>
    <w:p w14:paraId="145C58CC"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Важным достижением в части развития экспорта стало восстановление на территории России статуса «зоны свободной от ящура без вакцинации» во Всемирной организации здравоохранения животных. Данный шаг облегчит получение доступа на такие перспективные рынки, как Японии, Южной Кореи, Сингапура и Филиппин. В целом для поставок отечественной продукции сейчас открыты рынки 161 государства.</w:t>
      </w:r>
    </w:p>
    <w:p w14:paraId="35C752B7"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Продолжаем расширять сеть атташе по АПК. В 2021 году назначен 31 представитель Минсельхоза России, в 2022 году они появятся уже в 50 странах мира.</w:t>
      </w:r>
    </w:p>
    <w:p w14:paraId="3ABD10B2"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Уважаемые депутаты! Стабильность АПК во многом определяется системой мер государственной поддержки. На госпрограмму «Развитие сельского хозяйства» в 2021 году в соответствии с уточненной бюджетной росписью, то есть со всеми дополнительными средствами, в течение года направлен 291 млрд рублей. Основной объем средств в регионы мы направили еще в конце 2020 года. Тщательно следим за своевременностью доведения до конечных получателей этих ресурсов, рассчитываем на их полное освоение.</w:t>
      </w:r>
    </w:p>
    <w:p w14:paraId="02364AD2"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Законом о бюджете на 2022 год на госпрограмму АПК запланировано 285 миллиардов.</w:t>
      </w:r>
    </w:p>
    <w:p w14:paraId="77E0F8B5"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Коллеги, одной из важнейших задач Минсельхоза России остается совершенствование системы мер государственной поддержки. Мы постоянно ведем этот диалог на всех уровнях, в том числе с отраслевым сообществом и с самими аграриями. Трансформацию инструментов господдержки с учетом ситуации считаю единственно верным подходом.</w:t>
      </w:r>
    </w:p>
    <w:p w14:paraId="0CB22E39"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Приведу несколько примеров.</w:t>
      </w:r>
    </w:p>
    <w:p w14:paraId="2AA3EB7E"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Так, новые приоритетные направления включаются в компенсирующую и стимулирующую субсидии. Перечень целевого использования льготных кредитов также постепенно расширяется, за счет чего данный механизм по-прежнему остается максимально востребованным. Это подтверждает тот факт, что с начала года заключено почти 18 тысяч договоров более чем на 900 млрд рублей. То есть на 163,5 млрд больше, чем годом ранее.</w:t>
      </w:r>
    </w:p>
    <w:p w14:paraId="6D8E0FBF"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lastRenderedPageBreak/>
        <w:t>Отдельное направление нашей работы связано с обеспечением доступности продукции. Конечно, необходим баланс, при котором цены на продовольствие останутся на приемлемом уровне, но рентабельность производства и инвестиционная привлекательность снижаться не буд</w:t>
      </w:r>
      <w:r>
        <w:rPr>
          <w:rFonts w:ascii="Times New Roman" w:hAnsi="Times New Roman"/>
          <w:sz w:val="28"/>
          <w:szCs w:val="28"/>
        </w:rPr>
        <w:t>у</w:t>
      </w:r>
      <w:r w:rsidRPr="00A25166">
        <w:rPr>
          <w:rFonts w:ascii="Times New Roman" w:hAnsi="Times New Roman"/>
          <w:sz w:val="28"/>
          <w:szCs w:val="28"/>
        </w:rPr>
        <w:t>т. Для стабилизации ситуации, как вы знаете, Правительством России реализуется ряд мер таможенно-тарифного регулирования, однако при этом предполагаются дополнительные механизмы государственной поддержки производителей. В частности, в 2021 году введена плавающая экспортная пошлина на зерновые. Это позволяет поддерживать внутренние цены на уровне существенно ниже мировых. Средства от пошлины направляются на поддержку аграриев. В первом полугодии 2022 года планируется введение тарифной квоты на вывоз зерновых, в рамках которой предусматривается отдельный лимит на пшеницу. Ее размер определен в конце 2021 года с учетом уточненного объема урожая и темпов роста экспорта. Кроме того, введены сдерживающие пошлины на вывоз подсолнечника, рапса, соевых бобов, а также демпферный механизм на вывоз подсолнечного масла.</w:t>
      </w:r>
    </w:p>
    <w:p w14:paraId="7DFEFD75"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Для поддержки перерабатывающей промышленности и стабилизации цен на мясную группу установлена тарифная льгота на импорт замороженной свинины в размере до 100 тысяч тонн и замороженной говядины до 200 тысяч. Также установлена тарифная льгота для импорта сахара и сахара сырца в размере 300 тысяч тонн. Данный механизм заработал буквально на этой неделе и будет действовать до 31 августа 2022 года.</w:t>
      </w:r>
    </w:p>
    <w:p w14:paraId="3A4E6113"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С 2021 года предусмотрен ряд дополнительных инструментов поддержки. В первую очередь это краткосрочные льготные кредиты на закупку зерна, шротов, премиксов, витаминов и аминокислот. Аналогичный механизм доступен предприятиям, производящим комбикорма. С марта 2021 года в рамках льготного кредитования предусмотрена возможность пролонгации инвесткредитов заемщикам, пострадавших от вспышек АЧС и гриппа птиц. В 2021 году мы дополнительно направили миллиард рублей на поддержку птицеводства в рамках краткосрочного льготного кредитования.</w:t>
      </w:r>
    </w:p>
    <w:p w14:paraId="6BEEDB35"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Кроме того, в целях стимулирования производства овощей и картофеля планируем отдельный федеральный проект. В его рамках будут предусмотрены меры прямой поддержки производителей, а также, что очень важно, субсидии ЛПХ, которые традиционно выращивают значительную часть именно этой продукции.</w:t>
      </w:r>
    </w:p>
    <w:p w14:paraId="455C8121"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 xml:space="preserve">Уважаемый Вячеслав Викторович, уважаемые депутаты, коллеги! В продолжение темы о совершенствовании системы господдержки отмечу, что целый комплекс мер Минсельхоз России реализует для малых форм хозяйствования. Данному вопросу мы всегда уделяем пристальное внимание. </w:t>
      </w:r>
      <w:r w:rsidRPr="00A25166">
        <w:rPr>
          <w:rFonts w:ascii="Times New Roman" w:hAnsi="Times New Roman"/>
          <w:sz w:val="28"/>
          <w:szCs w:val="28"/>
        </w:rPr>
        <w:lastRenderedPageBreak/>
        <w:t xml:space="preserve">МФХ производят 15% от общего объема продукции АПК, при этом в совокупности на господдержку МСП в прошлом году было направлено почти 129 млрд рублей. Это 63% от всей поддержки АПК. Малому и среднему бизнесу доступен весь комплекс мер, но при этом существуют инструменты исключительно для них. В первую очередь, это гранты. Данный механизм мы также постепенно развиваем и совместно с участниками рынка прорабатываем новые направления конкретной адресной поддержки. В частности, с 2021 года появился грант «Агропрогресс», предусматривающий поддержку микро- и малым производителям на реализацию инвестпроектов с привлечением кредитных средств. С 2022 года появится грант «Агротуризм» размером до 10 млн рублей. На эти цели будет направлено 300 млн рублей. Помимо этого, продолжается реализация федерального проекта «Акселерация субъектов МСП». На мероприятия Минсельхоза  России </w:t>
      </w:r>
      <w:r w:rsidRPr="00A25166">
        <w:rPr>
          <w:rFonts w:ascii="Times New Roman" w:hAnsi="Times New Roman"/>
          <w:vanish/>
          <w:sz w:val="28"/>
          <w:szCs w:val="28"/>
        </w:rPr>
        <w:t xml:space="preserve">РоП </w:t>
      </w:r>
      <w:r w:rsidRPr="00A25166">
        <w:rPr>
          <w:rFonts w:ascii="Times New Roman" w:hAnsi="Times New Roman"/>
          <w:sz w:val="28"/>
          <w:szCs w:val="28"/>
        </w:rPr>
        <w:t>предусмотрено более 5 млрд рублей.  В целом в 2021 году количество субъектов, получивших господдержку, уже превысило плановые значения.</w:t>
      </w:r>
    </w:p>
    <w:p w14:paraId="08D2B904"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 xml:space="preserve">Для сегмента МСП реализуются и другие меры поддержки. Например, информационно-методическое сопровождение их деятельности осуществляют 83 центра компетенций, созданных регионами совместно с Минсельхозом. </w:t>
      </w:r>
    </w:p>
    <w:p w14:paraId="171082C2"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Также мы прорабатываем различные варианты для содействия сбыту продукции МФХ. В частности, в рамках льготного кредитования предусмотрена поддержка для приобретения мобильных торговых объектов и транспорта для выездной торговли. Кроме того, Президент России уже подписал закон, дающий фермерам право устанавливать нестационарные объекты прямо на своих участках.</w:t>
      </w:r>
    </w:p>
    <w:p w14:paraId="6F74F7B5"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Разумеется, совместно с Минпромторгом России и с субъектами развиваем традиционную форму поддержки сбыта, я имею в виду различные фермерские рынки и ярмарки. Подобные положительные примеры в регионах есть. Например, в Тамбовской, Брянской, Смоленской областях, Ставропольском и Краснодарских краях.</w:t>
      </w:r>
    </w:p>
    <w:p w14:paraId="754FD389"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Учитывая современные тенденции, содействуем развитию онлайн-торговли. Специальную платформу создал Россельхозбанк. В текущем году заключены соглашения с компаниями «Яндекс» и Ozon. В рамках их реализации уже проведен ряд обучающих мероприятий для фермеров по реализации продукции в онлайн-формате.</w:t>
      </w:r>
    </w:p>
    <w:p w14:paraId="1273277B"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 xml:space="preserve">Кроме того, в соответствии с поручением Президента России поддерживаем региональные бренды. Зачастую местную продукцию выпускают именно небольшие производители. Для наращивания объема её производства, а также содействия сбыту Минсельхоз России второй год подряд реализует и проводит конкурс «Вкусы России», победители получают </w:t>
      </w:r>
      <w:r w:rsidRPr="00A25166">
        <w:rPr>
          <w:rFonts w:ascii="Times New Roman" w:hAnsi="Times New Roman"/>
          <w:sz w:val="28"/>
          <w:szCs w:val="28"/>
        </w:rPr>
        <w:lastRenderedPageBreak/>
        <w:t>возможность обучения и продвижения. Для малого бизнеса это очень актуально. Коллеги, конечно же, всё, о чем я сказал, будет продолжено и в 2022 году.</w:t>
      </w:r>
    </w:p>
    <w:p w14:paraId="66BE6522"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Уважаемые участники заседания! Говоря об итогах работы агропромышленного комплекса, нельзя забывать, что все результаты достигаются благодаря людям, труженикам отрасли, большинство из которых проживает на сельских территориях. Минсельхоз продолжает реализацию госпрограммы «Комплексное развитие сельских территорий», которая направлена на повышение качества жизни на селе. Она разрабатывалась в том числе совместно с депутатским корпусом, совместно с вами.</w:t>
      </w:r>
    </w:p>
    <w:p w14:paraId="313AC62F"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В 2021 году ведется реализация 234 комплексных проектов. Мероприятия охватят 2 млн человек, это в том числе объекты здравоохранения, образования, культуры, социальная сфера и коммунальная инфраструктура. Важно, что все проекты инициированы, проработаны и поддержаны людьми, проживающими на конкретных территориях.</w:t>
      </w:r>
    </w:p>
    <w:p w14:paraId="36D1C414"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Проекты 2021 года в перспективе позволят создать 16 тысяч рабочих мест. Кроме того, будет построено порядка 200 километров новых дорог и реализовано более 3 тысяч проектов благоустройства сельских территорий. За счет сельской ипотеки жилищные условия улучшит 51 тыс</w:t>
      </w:r>
      <w:r>
        <w:rPr>
          <w:rFonts w:ascii="Times New Roman" w:hAnsi="Times New Roman"/>
          <w:sz w:val="28"/>
          <w:szCs w:val="28"/>
        </w:rPr>
        <w:t>.</w:t>
      </w:r>
      <w:r w:rsidRPr="00A25166">
        <w:rPr>
          <w:rFonts w:ascii="Times New Roman" w:hAnsi="Times New Roman"/>
          <w:sz w:val="28"/>
          <w:szCs w:val="28"/>
        </w:rPr>
        <w:t xml:space="preserve"> семей. В целом в 2021 году на госпрограмму федеральным бюджетом предусмотрено более 40 млрд рублей. В том числе, благодаря поддержке депутатского корпуса, в течение года дополнительно было выделено 10,6 млрд.</w:t>
      </w:r>
    </w:p>
    <w:p w14:paraId="285C064A"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На 2022 год законом о бюджете заложено 40,7 млрд, из которых 4,5 дополнительно предусмотрены по предложениям депутатов Государственной Думы. Спасибо, что не оставляете без внимания столь важное направление.</w:t>
      </w:r>
    </w:p>
    <w:p w14:paraId="6D6A023F"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В 2022 году работа по госпрограмме будет продолжена. Планируется реализация 126 новых комплексных проектов, включая 362 объекта социальной и инженерной инфраструктуры, порядка 500 проектов по благоустройству, а также ввод в эксплуатацию около 300 километров дорог.</w:t>
      </w:r>
    </w:p>
    <w:p w14:paraId="16E52207"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Уважаемые депутаты! Как вы знаете, с 2022 года Минсельхоз России приступает к реализации еще одной, то есть уже четвертой государственной программы по эффективному вовлечению в оборот земель сельхозназначения и развитию мелиоративного комплекса до 2030 года. Ее разработка велась совместно с депутатским корпусом, сенаторами, регионами, отраслевым сообществом и, конечно, самими аграриями.</w:t>
      </w:r>
      <w:r>
        <w:rPr>
          <w:rFonts w:ascii="Times New Roman" w:hAnsi="Times New Roman"/>
          <w:sz w:val="28"/>
          <w:szCs w:val="28"/>
        </w:rPr>
        <w:t xml:space="preserve"> </w:t>
      </w:r>
      <w:r w:rsidRPr="00A25166">
        <w:rPr>
          <w:rFonts w:ascii="Times New Roman" w:hAnsi="Times New Roman"/>
          <w:sz w:val="28"/>
          <w:szCs w:val="28"/>
        </w:rPr>
        <w:t xml:space="preserve">Поэтому, пользуясь случаем, хотел бы поблагодарить Государственную Думу за поддержку. Благодаря госпрограмме мы впервые сможем провести системный аудит земель сельхозназначения России и получить достоверную картину обо всех неиспользуемых землях. Также планируем ввести в оборот не менее 13 млн </w:t>
      </w:r>
      <w:r w:rsidRPr="00A25166">
        <w:rPr>
          <w:rFonts w:ascii="Times New Roman" w:hAnsi="Times New Roman"/>
          <w:sz w:val="28"/>
          <w:szCs w:val="28"/>
        </w:rPr>
        <w:lastRenderedPageBreak/>
        <w:t>гектаров и в 2,5 раза сократить износ мелиоративных систем. На ближайшие три года предусмотрены 94,3 млрд рублей из федерального бюджета. Отмечу, что по мероприятиям 2022 года уже проведен отбор проектов.</w:t>
      </w:r>
    </w:p>
    <w:p w14:paraId="6F5712D3"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Уважаемые депутаты, по традиции в качестве итога своего выступления несколько слов о нашем взаимодействии в части законотворческой деятельности. За последние два года принято более 30 законов в сфере сельского хозяйства, с начала 2021 года еще 22. Ключевые из них - это закон об обследовании предприятий-экспортеров животноводческой продукции, закон о введении в гражданский оборот лекарственных препаратов для ветеринарного применения, закон о продукции с улучшенными характеристиками, закон о самоходных машинах, а также закон, позволяющий фермерам продавать произведенную продукцию на своих участках.</w:t>
      </w:r>
    </w:p>
    <w:p w14:paraId="7A7A0FE6"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Также напомню, что в 2021 году вступили в силу изменения в механизм сельхозстрахования. Это очень важное для нас направление работы. По подсчетам регионов, в 2021 году ущерб от ЧС природного характера составил порядка 8 млрд рублей. По нашему мнению, именно сельхозстрахование может выступать гарантированной защитой имущественных интересов аграриев. Показатели застрахованных площадей и поголовья планомерно из года в год растут. Но, конечно, таких объемов недостаточно. Напомню, что для развития данного механизма мы внесли изменения в закон, предусматривающий повышенный размер возмещения для аграриев. Благодарим депутатов за поддержку. Надеемся на совместную работу по развитию агрострахования в регионах.</w:t>
      </w:r>
    </w:p>
    <w:p w14:paraId="37C0F672"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Продолжу о законопроектной деятельности. В текущей сессии рассчитываем на принятие важнейшего закона о семеноводстве. Думаю, его значимость сложно переоценить. Очень рассчитываем здесь в том числе и на вашу поддержку. Кроме того, в ноябре внесен в Государственную Думу законопроект, предусматривающий маркирование сельхозживотных. Это в том числе будет способствовать повышению эпизоотического благополучия. Я сегодня говорил о том, насколько важна данная тема. Рассмотрение планируется на весеннюю сессию.</w:t>
      </w:r>
    </w:p>
    <w:p w14:paraId="00BB520D"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И, наконец, еще одним ключевым направлением является цифровизация. Мы реализуем несколько проектов, однако отдельно отмечу создание информационной системы цифровых сервисов, так называемый суперсервис АПК. Он будет интегрирован с порталом Госуслуг, упростит и ускорит получение аграриями мер господдержки, начиная с 2023 года. Законопроект, предусматривающий создание нормативной базы для этой системы, внесен в Государственную Думу. В этом вопросе мы также рассчитываем на ваше содействие.</w:t>
      </w:r>
    </w:p>
    <w:p w14:paraId="2D478002"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lastRenderedPageBreak/>
        <w:t>Уважаемые участники заседания! В преддверии «правительственного часа» мы провели встречи со всеми парламентскими фракциями и еще раз убедились, насколько глубоко вы погружены в проблематику нашей отрасли. Безусловно, это позволяет решать многие актуальные вопросы, способствует развитию агропромышленного комплекса и повышению качества сельской жизни. Рассчитываем на продолжение диалога в столь же эффективном ключе.</w:t>
      </w:r>
    </w:p>
    <w:p w14:paraId="2B06AAEA" w14:textId="77777777" w:rsidR="00C05A27" w:rsidRPr="00A25166" w:rsidRDefault="00C05A27" w:rsidP="00C05A27">
      <w:pPr>
        <w:spacing w:after="0" w:line="276" w:lineRule="auto"/>
        <w:ind w:firstLine="709"/>
        <w:jc w:val="both"/>
        <w:rPr>
          <w:rFonts w:ascii="Times New Roman" w:hAnsi="Times New Roman"/>
          <w:sz w:val="28"/>
          <w:szCs w:val="28"/>
        </w:rPr>
      </w:pPr>
      <w:r w:rsidRPr="00A25166">
        <w:rPr>
          <w:rFonts w:ascii="Times New Roman" w:hAnsi="Times New Roman"/>
          <w:sz w:val="28"/>
          <w:szCs w:val="28"/>
        </w:rPr>
        <w:t>Спасибо за внимание и, конечно же, я буду рад ответить на ваши вопросы. На этом доклад завершен. Спасибо.</w:t>
      </w:r>
    </w:p>
    <w:p w14:paraId="39D79E59" w14:textId="77777777" w:rsidR="00C05A27" w:rsidRPr="00A25166" w:rsidRDefault="00C05A27" w:rsidP="00C05A27">
      <w:pPr>
        <w:spacing w:line="276" w:lineRule="auto"/>
        <w:rPr>
          <w:rFonts w:ascii="Times New Roman" w:hAnsi="Times New Roman"/>
          <w:sz w:val="28"/>
          <w:szCs w:val="28"/>
        </w:rPr>
      </w:pPr>
    </w:p>
    <w:p w14:paraId="1FE29B88" w14:textId="77777777" w:rsidR="00C05A27" w:rsidRDefault="00C05A27" w:rsidP="00C05A27">
      <w:pPr>
        <w:spacing w:after="0" w:line="276" w:lineRule="auto"/>
        <w:jc w:val="right"/>
        <w:rPr>
          <w:rFonts w:ascii="Times New Roman" w:hAnsi="Times New Roman"/>
          <w:bCs/>
          <w:sz w:val="28"/>
          <w:szCs w:val="28"/>
        </w:rPr>
      </w:pPr>
    </w:p>
    <w:p w14:paraId="53756E72" w14:textId="77777777" w:rsidR="00C05A27" w:rsidRDefault="00C05A27" w:rsidP="00C05A27">
      <w:pPr>
        <w:spacing w:after="0" w:line="276" w:lineRule="auto"/>
        <w:jc w:val="right"/>
        <w:rPr>
          <w:rFonts w:ascii="Times New Roman" w:hAnsi="Times New Roman"/>
          <w:bCs/>
          <w:sz w:val="28"/>
          <w:szCs w:val="28"/>
        </w:rPr>
      </w:pPr>
    </w:p>
    <w:p w14:paraId="5B1AF48A" w14:textId="77777777" w:rsidR="00C05A27" w:rsidRDefault="00C05A27" w:rsidP="00C05A27">
      <w:pPr>
        <w:spacing w:after="0" w:line="276" w:lineRule="auto"/>
        <w:jc w:val="right"/>
        <w:rPr>
          <w:rFonts w:ascii="Times New Roman" w:hAnsi="Times New Roman"/>
          <w:bCs/>
          <w:sz w:val="28"/>
          <w:szCs w:val="28"/>
        </w:rPr>
      </w:pPr>
    </w:p>
    <w:p w14:paraId="490619F4" w14:textId="77777777" w:rsidR="00D84CED" w:rsidRDefault="00D84CED"/>
    <w:sectPr w:rsidR="00D84C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27"/>
    <w:rsid w:val="00C05A27"/>
    <w:rsid w:val="00D84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E91A"/>
  <w15:chartTrackingRefBased/>
  <w15:docId w15:val="{9ABC5787-5988-487F-8B1B-2A6B27A4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A27"/>
    <w:pPr>
      <w:spacing w:line="25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3050</Words>
  <Characters>17390</Characters>
  <Application>Microsoft Office Word</Application>
  <DocSecurity>0</DocSecurity>
  <Lines>144</Lines>
  <Paragraphs>40</Paragraphs>
  <ScaleCrop>false</ScaleCrop>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APKpressa@outlook.com</dc:creator>
  <cp:keywords/>
  <dc:description/>
  <cp:lastModifiedBy>APKpressa@outlook.com</cp:lastModifiedBy>
  <cp:revision>1</cp:revision>
  <dcterms:created xsi:type="dcterms:W3CDTF">2022-01-17T10:52:00Z</dcterms:created>
  <dcterms:modified xsi:type="dcterms:W3CDTF">2022-01-17T10:52:00Z</dcterms:modified>
</cp:coreProperties>
</file>